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B75D0" w14:textId="77777777" w:rsidR="00666493" w:rsidRDefault="00666493" w:rsidP="00305B12">
      <w:pPr>
        <w:rPr>
          <w:rFonts w:ascii="Calibri" w:eastAsia="Calibri" w:hAnsi="Calibri" w:cs="Calibri"/>
          <w:b/>
          <w:bCs/>
          <w:i/>
          <w:iCs/>
          <w:lang w:val="en-GB"/>
        </w:rPr>
      </w:pPr>
    </w:p>
    <w:p w14:paraId="09539E56" w14:textId="77777777" w:rsidR="00666493" w:rsidRDefault="00666493" w:rsidP="00305B12">
      <w:pPr>
        <w:rPr>
          <w:rFonts w:ascii="Calibri" w:eastAsia="Calibri" w:hAnsi="Calibri" w:cs="Calibri"/>
          <w:b/>
          <w:bCs/>
          <w:i/>
          <w:iCs/>
          <w:lang w:val="en-GB"/>
        </w:rPr>
      </w:pPr>
    </w:p>
    <w:p w14:paraId="66D6035D" w14:textId="67EE0F86" w:rsidR="00305B12" w:rsidRPr="005D7245" w:rsidRDefault="00305B12" w:rsidP="00305B12">
      <w:pPr>
        <w:rPr>
          <w:rFonts w:ascii="Calibri" w:hAnsi="Calibri" w:cs="Calibri"/>
          <w:b/>
          <w:bCs/>
          <w:i/>
          <w:iCs/>
          <w:sz w:val="20"/>
          <w:szCs w:val="20"/>
          <w:lang w:val="en-GB"/>
        </w:rPr>
      </w:pPr>
      <w:r w:rsidRPr="005D7245">
        <w:rPr>
          <w:rFonts w:ascii="Calibri" w:eastAsia="Calibri" w:hAnsi="Calibri" w:cs="Calibri"/>
          <w:b/>
          <w:bCs/>
          <w:i/>
          <w:iCs/>
          <w:lang w:val="en-GB"/>
        </w:rPr>
        <w:t>FOR IMMEDIATE RELEASE</w:t>
      </w:r>
    </w:p>
    <w:p w14:paraId="3B4BFB26" w14:textId="46FC267E" w:rsidR="00305B12" w:rsidRPr="005D7245" w:rsidRDefault="000E151E" w:rsidP="00305B12">
      <w:pPr>
        <w:spacing w:line="276" w:lineRule="auto"/>
        <w:rPr>
          <w:rFonts w:ascii="Calibri" w:eastAsia="Calibri" w:hAnsi="Calibri" w:cs="Calibri"/>
          <w:i/>
          <w:iCs/>
          <w:lang w:val="en-GB"/>
        </w:rPr>
      </w:pPr>
      <w:r>
        <w:rPr>
          <w:rFonts w:ascii="Calibri" w:eastAsia="Calibri" w:hAnsi="Calibri" w:cs="Calibri"/>
          <w:i/>
          <w:iCs/>
          <w:lang w:val="en-GB"/>
        </w:rPr>
        <w:t>Kigali, Rwanda</w:t>
      </w:r>
      <w:r w:rsidR="00305B12" w:rsidRPr="005D7245">
        <w:rPr>
          <w:rFonts w:ascii="Calibri" w:eastAsia="Calibri" w:hAnsi="Calibri" w:cs="Calibri"/>
          <w:i/>
          <w:iCs/>
          <w:lang w:val="en-GB"/>
        </w:rPr>
        <w:t xml:space="preserve"> | </w:t>
      </w:r>
      <w:r w:rsidR="00532BB7">
        <w:rPr>
          <w:rFonts w:ascii="Calibri" w:eastAsia="Calibri" w:hAnsi="Calibri" w:cs="Calibri"/>
          <w:i/>
          <w:iCs/>
          <w:lang w:val="en-GB"/>
        </w:rPr>
        <w:t>August 28</w:t>
      </w:r>
      <w:r w:rsidR="00305B12" w:rsidRPr="005D7245">
        <w:rPr>
          <w:rFonts w:ascii="Calibri" w:eastAsia="Calibri" w:hAnsi="Calibri" w:cs="Calibri"/>
          <w:i/>
          <w:iCs/>
          <w:lang w:val="en-GB"/>
        </w:rPr>
        <w:t>, 2026</w:t>
      </w:r>
    </w:p>
    <w:p w14:paraId="6CEEBE03" w14:textId="77777777" w:rsidR="00305B12" w:rsidRPr="000355EC" w:rsidRDefault="00305B12" w:rsidP="00305B12">
      <w:pPr>
        <w:rPr>
          <w:rFonts w:ascii="Calibri" w:hAnsi="Calibri" w:cs="Calibri"/>
          <w:lang w:val="en-GB"/>
        </w:rPr>
      </w:pPr>
    </w:p>
    <w:p w14:paraId="5228CE56" w14:textId="77777777" w:rsidR="00532BB7" w:rsidRDefault="008F4BBB" w:rsidP="00532BB7">
      <w:pPr>
        <w:spacing w:line="276" w:lineRule="auto"/>
        <w:rPr>
          <w:rFonts w:ascii="Calibri" w:eastAsia="Aptos" w:hAnsi="Calibri" w:cs="Calibri"/>
          <w:b/>
          <w:bCs/>
          <w:sz w:val="32"/>
          <w:szCs w:val="32"/>
        </w:rPr>
      </w:pPr>
      <w:r w:rsidRPr="008F4BBB">
        <w:rPr>
          <w:rFonts w:ascii="Calibri" w:eastAsia="Aptos" w:hAnsi="Calibri" w:cs="Calibri"/>
          <w:b/>
          <w:bCs/>
          <w:sz w:val="32"/>
          <w:szCs w:val="32"/>
        </w:rPr>
        <w:t>VIV Africa 2026: A Look at Who's Coming to Kigali</w:t>
      </w:r>
    </w:p>
    <w:p w14:paraId="58535698" w14:textId="24259DF0" w:rsidR="00040145" w:rsidRPr="00532BB7" w:rsidRDefault="00040145" w:rsidP="00532BB7">
      <w:pPr>
        <w:spacing w:line="276" w:lineRule="auto"/>
        <w:rPr>
          <w:rFonts w:ascii="Calibri" w:eastAsia="Aptos" w:hAnsi="Calibri" w:cs="Calibri"/>
          <w:b/>
          <w:bCs/>
          <w:sz w:val="32"/>
          <w:szCs w:val="32"/>
        </w:rPr>
      </w:pPr>
      <w:r w:rsidRPr="00532BB7">
        <w:rPr>
          <w:rFonts w:ascii="Calibri" w:eastAsia="Calibri" w:hAnsi="Calibri" w:cs="Calibri"/>
          <w:i/>
          <w:iCs/>
          <w:sz w:val="22"/>
          <w:szCs w:val="22"/>
        </w:rPr>
        <w:t>Exhibitors, buyers, and industry leaders converge on Rwanda's capital for the region's anticipated feed to food event</w:t>
      </w:r>
    </w:p>
    <w:p w14:paraId="1C2F606E" w14:textId="77777777" w:rsidR="00532BB7" w:rsidRDefault="00532BB7" w:rsidP="00E84945">
      <w:pPr>
        <w:spacing w:after="200" w:line="276" w:lineRule="auto"/>
        <w:rPr>
          <w:rFonts w:ascii="Calibri" w:eastAsia="Calibri" w:hAnsi="Calibri" w:cs="Calibri"/>
          <w:lang w:val="en-GB"/>
        </w:rPr>
      </w:pPr>
    </w:p>
    <w:p w14:paraId="22B1A84B" w14:textId="705FF90E" w:rsidR="00E84945" w:rsidRPr="00532BB7" w:rsidRDefault="00E84945" w:rsidP="00E84945">
      <w:pPr>
        <w:spacing w:after="200" w:line="276" w:lineRule="auto"/>
        <w:rPr>
          <w:rFonts w:ascii="Calibri" w:eastAsia="Calibri" w:hAnsi="Calibri" w:cs="Calibri"/>
          <w:lang w:val="en-GB"/>
        </w:rPr>
      </w:pPr>
      <w:r w:rsidRPr="00532BB7">
        <w:rPr>
          <w:rFonts w:ascii="Calibri" w:eastAsia="Calibri" w:hAnsi="Calibri" w:cs="Calibri"/>
          <w:lang w:val="en-GB"/>
        </w:rPr>
        <w:t xml:space="preserve">With VIV Africa 2026 set to open its doors on 7 to 8 October at the Kigali Convention Centre, the show's exhibitor and delegate line-up is taking shape, and it paints a clear picture of an industry converging on Rwanda's capital to do business. Preceded by a dedicated Leadership Conference on 6 October, the fifth edition of VIV Africa brings together producers, suppliers, investors and policymakers from across the </w:t>
      </w:r>
      <w:r w:rsidR="00532BB7">
        <w:rPr>
          <w:rFonts w:ascii="Calibri" w:eastAsia="Calibri" w:hAnsi="Calibri" w:cs="Calibri"/>
          <w:lang w:val="en-GB"/>
        </w:rPr>
        <w:t>f</w:t>
      </w:r>
      <w:r w:rsidRPr="00532BB7">
        <w:rPr>
          <w:rFonts w:ascii="Calibri" w:eastAsia="Calibri" w:hAnsi="Calibri" w:cs="Calibri"/>
          <w:lang w:val="en-GB"/>
        </w:rPr>
        <w:t xml:space="preserve">eed to </w:t>
      </w:r>
      <w:r w:rsidR="00532BB7">
        <w:rPr>
          <w:rFonts w:ascii="Calibri" w:eastAsia="Calibri" w:hAnsi="Calibri" w:cs="Calibri"/>
          <w:lang w:val="en-GB"/>
        </w:rPr>
        <w:t>f</w:t>
      </w:r>
      <w:r w:rsidRPr="00532BB7">
        <w:rPr>
          <w:rFonts w:ascii="Calibri" w:eastAsia="Calibri" w:hAnsi="Calibri" w:cs="Calibri"/>
          <w:lang w:val="en-GB"/>
        </w:rPr>
        <w:t>ood value chain</w:t>
      </w:r>
      <w:r w:rsidR="00532BB7">
        <w:rPr>
          <w:rFonts w:ascii="Calibri" w:eastAsia="Calibri" w:hAnsi="Calibri" w:cs="Calibri"/>
          <w:lang w:val="en-GB"/>
        </w:rPr>
        <w:t>.</w:t>
      </w:r>
    </w:p>
    <w:p w14:paraId="00C13AB2" w14:textId="77D350F0" w:rsidR="00E84945" w:rsidRPr="00532BB7" w:rsidRDefault="00E84945" w:rsidP="00E84945">
      <w:pPr>
        <w:spacing w:after="200" w:line="276" w:lineRule="auto"/>
        <w:rPr>
          <w:b/>
          <w:bCs/>
          <w:lang w:val="nl-NL"/>
        </w:rPr>
      </w:pPr>
      <w:r w:rsidRPr="00532BB7">
        <w:rPr>
          <w:rFonts w:ascii="Calibri" w:eastAsia="Calibri" w:hAnsi="Calibri" w:cs="Calibri"/>
          <w:b/>
          <w:bCs/>
          <w:lang w:val="en-GB"/>
        </w:rPr>
        <w:t>Who’s in the room</w:t>
      </w:r>
    </w:p>
    <w:p w14:paraId="14921280" w14:textId="420D1AE9" w:rsidR="00E84945" w:rsidRPr="00532BB7" w:rsidRDefault="00E84945" w:rsidP="00E84945">
      <w:pPr>
        <w:spacing w:after="200" w:line="276" w:lineRule="auto"/>
        <w:rPr>
          <w:lang w:val="en-GB"/>
        </w:rPr>
      </w:pPr>
      <w:r w:rsidRPr="00532BB7">
        <w:rPr>
          <w:rFonts w:ascii="Calibri" w:eastAsia="Calibri" w:hAnsi="Calibri" w:cs="Calibri"/>
          <w:lang w:val="en-GB"/>
        </w:rPr>
        <w:t>VIV Africa has built its reputation as the meeting point for professionals working across East Africa, Sub-Saharan Africa and the wider international agrifood community. Visitors</w:t>
      </w:r>
      <w:r w:rsidR="00532BB7">
        <w:rPr>
          <w:rFonts w:ascii="Calibri" w:eastAsia="Calibri" w:hAnsi="Calibri" w:cs="Calibri"/>
          <w:lang w:val="en-GB"/>
        </w:rPr>
        <w:t xml:space="preserve"> </w:t>
      </w:r>
      <w:r w:rsidRPr="00532BB7">
        <w:rPr>
          <w:rFonts w:ascii="Calibri" w:eastAsia="Calibri" w:hAnsi="Calibri" w:cs="Calibri"/>
          <w:lang w:val="en-GB"/>
        </w:rPr>
        <w:t>include farm owners and operators, feed millers, hatchery and breeding specialists, veterinarians and animal health professionals, processors, distributors, investors and government stakeholders, all drawn by the chance to compare solutions from international and regional suppliers side by side.</w:t>
      </w:r>
    </w:p>
    <w:p w14:paraId="42DC7664" w14:textId="07E7BBD6" w:rsidR="00E84945" w:rsidRPr="00532BB7" w:rsidRDefault="00E84945" w:rsidP="00E84945">
      <w:pPr>
        <w:spacing w:after="200" w:line="276" w:lineRule="auto"/>
        <w:rPr>
          <w:lang w:val="en-GB"/>
        </w:rPr>
      </w:pPr>
      <w:r w:rsidRPr="00532BB7">
        <w:rPr>
          <w:rFonts w:ascii="Calibri" w:eastAsia="Calibri" w:hAnsi="Calibri" w:cs="Calibri"/>
          <w:lang w:val="en-GB"/>
        </w:rPr>
        <w:t>That business focus is sharpened by two dedicated platforms running alongside the exhibition. The Investment &amp; Market Access Forum connects investors and policymakers with businesses across the region, while the Hosted Buyer Program brings senior purchasing decision-makers directly to the show floor for scheduled introductions with exhibitors.</w:t>
      </w:r>
    </w:p>
    <w:p w14:paraId="3FDC0230" w14:textId="67DA571A" w:rsidR="007C6D28" w:rsidRPr="00532BB7" w:rsidRDefault="001B6BA5" w:rsidP="00793853">
      <w:pPr>
        <w:rPr>
          <w:rFonts w:ascii="Calibri" w:eastAsia="Aptos" w:hAnsi="Calibri" w:cs="Calibri"/>
          <w:b/>
          <w:bCs/>
          <w:lang w:val="en-GB"/>
        </w:rPr>
      </w:pPr>
      <w:r w:rsidRPr="00532BB7">
        <w:rPr>
          <w:rFonts w:ascii="Calibri" w:eastAsia="Aptos" w:hAnsi="Calibri" w:cs="Calibri"/>
          <w:b/>
          <w:bCs/>
          <w:lang w:val="en-GB"/>
        </w:rPr>
        <w:t>An exhibitor base spanning the full value chain</w:t>
      </w:r>
    </w:p>
    <w:p w14:paraId="4B81182D" w14:textId="633831A6" w:rsidR="001674C6" w:rsidRPr="00532BB7" w:rsidRDefault="00532BB7" w:rsidP="001674C6">
      <w:pPr>
        <w:spacing w:after="200" w:line="276" w:lineRule="auto"/>
        <w:rPr>
          <w:lang w:val="en-GB"/>
        </w:rPr>
      </w:pPr>
      <w:r>
        <w:rPr>
          <w:rFonts w:ascii="Calibri" w:eastAsia="Calibri" w:hAnsi="Calibri" w:cs="Calibri"/>
          <w:lang w:val="en-GB"/>
        </w:rPr>
        <w:t>About 150 e</w:t>
      </w:r>
      <w:r w:rsidR="001674C6" w:rsidRPr="00532BB7">
        <w:rPr>
          <w:rFonts w:ascii="Calibri" w:eastAsia="Calibri" w:hAnsi="Calibri" w:cs="Calibri"/>
          <w:lang w:val="en-GB"/>
        </w:rPr>
        <w:t>xhibitors from around the world will fill the show floor, organized across five core sectors that trace the journey from feed to food.</w:t>
      </w:r>
    </w:p>
    <w:p w14:paraId="32895D00" w14:textId="77777777" w:rsidR="001674C6" w:rsidRDefault="001674C6" w:rsidP="001674C6">
      <w:pPr>
        <w:spacing w:after="200" w:line="276" w:lineRule="auto"/>
        <w:rPr>
          <w:rFonts w:ascii="Calibri" w:eastAsia="Calibri" w:hAnsi="Calibri" w:cs="Calibri"/>
          <w:lang w:val="en-GB"/>
        </w:rPr>
      </w:pPr>
      <w:r w:rsidRPr="00532BB7">
        <w:rPr>
          <w:rFonts w:ascii="Calibri" w:eastAsia="Calibri" w:hAnsi="Calibri" w:cs="Calibri"/>
          <w:lang w:val="en-GB"/>
        </w:rPr>
        <w:t>The Animal Health sector brings veterinary pharmaceuticals, diagnostics, vaccines and biosecurity solutions from companies including Ceva/</w:t>
      </w:r>
      <w:proofErr w:type="spellStart"/>
      <w:r w:rsidRPr="00532BB7">
        <w:rPr>
          <w:rFonts w:ascii="Calibri" w:eastAsia="Calibri" w:hAnsi="Calibri" w:cs="Calibri"/>
          <w:lang w:val="en-GB"/>
        </w:rPr>
        <w:t>Laprovet</w:t>
      </w:r>
      <w:proofErr w:type="spellEnd"/>
      <w:r w:rsidRPr="00532BB7">
        <w:rPr>
          <w:rFonts w:ascii="Calibri" w:eastAsia="Calibri" w:hAnsi="Calibri" w:cs="Calibri"/>
          <w:lang w:val="en-GB"/>
        </w:rPr>
        <w:t xml:space="preserve">, Kemin Biologics, LVL Animal Health, </w:t>
      </w:r>
      <w:proofErr w:type="spellStart"/>
      <w:r w:rsidRPr="00532BB7">
        <w:rPr>
          <w:rFonts w:ascii="Calibri" w:eastAsia="Calibri" w:hAnsi="Calibri" w:cs="Calibri"/>
          <w:lang w:val="en-GB"/>
        </w:rPr>
        <w:t>Biovet</w:t>
      </w:r>
      <w:proofErr w:type="spellEnd"/>
      <w:r w:rsidRPr="00532BB7">
        <w:rPr>
          <w:rFonts w:ascii="Calibri" w:eastAsia="Calibri" w:hAnsi="Calibri" w:cs="Calibri"/>
          <w:lang w:val="en-GB"/>
        </w:rPr>
        <w:t xml:space="preserve"> and </w:t>
      </w:r>
      <w:proofErr w:type="spellStart"/>
      <w:r w:rsidRPr="00532BB7">
        <w:rPr>
          <w:rFonts w:ascii="Calibri" w:eastAsia="Calibri" w:hAnsi="Calibri" w:cs="Calibri"/>
          <w:lang w:val="en-GB"/>
        </w:rPr>
        <w:t>Innovad</w:t>
      </w:r>
      <w:proofErr w:type="spellEnd"/>
      <w:r w:rsidRPr="00532BB7">
        <w:rPr>
          <w:rFonts w:ascii="Calibri" w:eastAsia="Calibri" w:hAnsi="Calibri" w:cs="Calibri"/>
          <w:lang w:val="en-GB"/>
        </w:rPr>
        <w:t xml:space="preserve"> Group.</w:t>
      </w:r>
    </w:p>
    <w:p w14:paraId="0571B3D0" w14:textId="77777777" w:rsidR="00532BB7" w:rsidRDefault="00532BB7" w:rsidP="001674C6">
      <w:pPr>
        <w:spacing w:after="200" w:line="276" w:lineRule="auto"/>
        <w:rPr>
          <w:rFonts w:ascii="Calibri" w:eastAsia="Calibri" w:hAnsi="Calibri" w:cs="Calibri"/>
          <w:lang w:val="en-GB"/>
        </w:rPr>
      </w:pPr>
    </w:p>
    <w:p w14:paraId="423CD707" w14:textId="77777777" w:rsidR="00532BB7" w:rsidRDefault="00532BB7" w:rsidP="001674C6">
      <w:pPr>
        <w:spacing w:after="200" w:line="276" w:lineRule="auto"/>
        <w:rPr>
          <w:rFonts w:ascii="Calibri" w:eastAsia="Calibri" w:hAnsi="Calibri" w:cs="Calibri"/>
          <w:lang w:val="en-GB"/>
        </w:rPr>
      </w:pPr>
    </w:p>
    <w:p w14:paraId="55785683" w14:textId="77777777" w:rsidR="00532BB7" w:rsidRPr="00532BB7" w:rsidRDefault="00532BB7" w:rsidP="001674C6">
      <w:pPr>
        <w:spacing w:after="200" w:line="276" w:lineRule="auto"/>
        <w:rPr>
          <w:lang w:val="en-GB"/>
        </w:rPr>
      </w:pPr>
    </w:p>
    <w:p w14:paraId="5AC19CFE" w14:textId="77777777" w:rsidR="001674C6" w:rsidRPr="00532BB7" w:rsidRDefault="001674C6" w:rsidP="001674C6">
      <w:pPr>
        <w:spacing w:after="200" w:line="276" w:lineRule="auto"/>
        <w:rPr>
          <w:lang w:val="en-GB"/>
        </w:rPr>
      </w:pPr>
      <w:r w:rsidRPr="00532BB7">
        <w:rPr>
          <w:rFonts w:ascii="Calibri" w:eastAsia="Calibri" w:hAnsi="Calibri" w:cs="Calibri"/>
          <w:lang w:val="en-GB"/>
        </w:rPr>
        <w:t xml:space="preserve">Breeding &amp; Hatching exhibitors offer genetics, hatchery equipment and incubation technology, with names such as Aviagen, Hendrix Genetics, Hubbard, </w:t>
      </w:r>
      <w:proofErr w:type="spellStart"/>
      <w:r w:rsidRPr="00532BB7">
        <w:rPr>
          <w:rFonts w:ascii="Calibri" w:eastAsia="Calibri" w:hAnsi="Calibri" w:cs="Calibri"/>
          <w:lang w:val="en-GB"/>
        </w:rPr>
        <w:t>Novogen</w:t>
      </w:r>
      <w:proofErr w:type="spellEnd"/>
      <w:r w:rsidRPr="00532BB7">
        <w:rPr>
          <w:rFonts w:ascii="Calibri" w:eastAsia="Calibri" w:hAnsi="Calibri" w:cs="Calibri"/>
          <w:lang w:val="en-GB"/>
        </w:rPr>
        <w:t xml:space="preserve">, </w:t>
      </w:r>
      <w:proofErr w:type="spellStart"/>
      <w:r w:rsidRPr="00532BB7">
        <w:rPr>
          <w:rFonts w:ascii="Calibri" w:eastAsia="Calibri" w:hAnsi="Calibri" w:cs="Calibri"/>
          <w:lang w:val="en-GB"/>
        </w:rPr>
        <w:t>Petersime</w:t>
      </w:r>
      <w:proofErr w:type="spellEnd"/>
      <w:r w:rsidRPr="00532BB7">
        <w:rPr>
          <w:rFonts w:ascii="Calibri" w:eastAsia="Calibri" w:hAnsi="Calibri" w:cs="Calibri"/>
          <w:lang w:val="en-GB"/>
        </w:rPr>
        <w:t xml:space="preserve"> and Lohmann Breeders on the floor.</w:t>
      </w:r>
    </w:p>
    <w:p w14:paraId="50B0ADDD" w14:textId="77777777" w:rsidR="001674C6" w:rsidRPr="00532BB7" w:rsidRDefault="001674C6" w:rsidP="001674C6">
      <w:pPr>
        <w:spacing w:after="200" w:line="276" w:lineRule="auto"/>
        <w:rPr>
          <w:lang w:val="en-GB"/>
        </w:rPr>
      </w:pPr>
      <w:r w:rsidRPr="00532BB7">
        <w:rPr>
          <w:rFonts w:ascii="Calibri" w:eastAsia="Calibri" w:hAnsi="Calibri" w:cs="Calibri"/>
          <w:lang w:val="en-GB"/>
        </w:rPr>
        <w:t xml:space="preserve">Farm Production covers housing, feeding, drinking, climate control and general farm equipment, represented by suppliers including Big Dutchman, Chore-Time, </w:t>
      </w:r>
      <w:proofErr w:type="spellStart"/>
      <w:r w:rsidRPr="00532BB7">
        <w:rPr>
          <w:rFonts w:ascii="Calibri" w:eastAsia="Calibri" w:hAnsi="Calibri" w:cs="Calibri"/>
          <w:lang w:val="en-GB"/>
        </w:rPr>
        <w:t>Roxell</w:t>
      </w:r>
      <w:proofErr w:type="spellEnd"/>
      <w:r w:rsidRPr="00532BB7">
        <w:rPr>
          <w:rFonts w:ascii="Calibri" w:eastAsia="Calibri" w:hAnsi="Calibri" w:cs="Calibri"/>
          <w:lang w:val="en-GB"/>
        </w:rPr>
        <w:t xml:space="preserve">, </w:t>
      </w:r>
      <w:proofErr w:type="spellStart"/>
      <w:r w:rsidRPr="00532BB7">
        <w:rPr>
          <w:rFonts w:ascii="Calibri" w:eastAsia="Calibri" w:hAnsi="Calibri" w:cs="Calibri"/>
          <w:lang w:val="en-GB"/>
        </w:rPr>
        <w:t>Facco</w:t>
      </w:r>
      <w:proofErr w:type="spellEnd"/>
      <w:r w:rsidRPr="00532BB7">
        <w:rPr>
          <w:rFonts w:ascii="Calibri" w:eastAsia="Calibri" w:hAnsi="Calibri" w:cs="Calibri"/>
          <w:lang w:val="en-GB"/>
        </w:rPr>
        <w:t xml:space="preserve">, </w:t>
      </w:r>
      <w:proofErr w:type="spellStart"/>
      <w:r w:rsidRPr="00532BB7">
        <w:rPr>
          <w:rFonts w:ascii="Calibri" w:eastAsia="Calibri" w:hAnsi="Calibri" w:cs="Calibri"/>
          <w:lang w:val="en-GB"/>
        </w:rPr>
        <w:t>Vencomatic</w:t>
      </w:r>
      <w:proofErr w:type="spellEnd"/>
      <w:r w:rsidRPr="00532BB7">
        <w:rPr>
          <w:rFonts w:ascii="Calibri" w:eastAsia="Calibri" w:hAnsi="Calibri" w:cs="Calibri"/>
          <w:lang w:val="en-GB"/>
        </w:rPr>
        <w:t xml:space="preserve"> Group and </w:t>
      </w:r>
      <w:proofErr w:type="spellStart"/>
      <w:r w:rsidRPr="00532BB7">
        <w:rPr>
          <w:rFonts w:ascii="Calibri" w:eastAsia="Calibri" w:hAnsi="Calibri" w:cs="Calibri"/>
          <w:lang w:val="en-GB"/>
        </w:rPr>
        <w:t>Vostermans</w:t>
      </w:r>
      <w:proofErr w:type="spellEnd"/>
      <w:r w:rsidRPr="00532BB7">
        <w:rPr>
          <w:rFonts w:ascii="Calibri" w:eastAsia="Calibri" w:hAnsi="Calibri" w:cs="Calibri"/>
          <w:lang w:val="en-GB"/>
        </w:rPr>
        <w:t xml:space="preserve"> Ventilation.</w:t>
      </w:r>
    </w:p>
    <w:p w14:paraId="250ADF36" w14:textId="77777777" w:rsidR="001674C6" w:rsidRPr="00532BB7" w:rsidRDefault="001674C6" w:rsidP="001674C6">
      <w:pPr>
        <w:spacing w:after="200" w:line="276" w:lineRule="auto"/>
        <w:rPr>
          <w:lang w:val="en-GB"/>
        </w:rPr>
      </w:pPr>
      <w:r w:rsidRPr="00532BB7">
        <w:rPr>
          <w:rFonts w:ascii="Calibri" w:eastAsia="Calibri" w:hAnsi="Calibri" w:cs="Calibri"/>
          <w:lang w:val="en-GB"/>
        </w:rPr>
        <w:t xml:space="preserve">The Feed, Ingredients &amp; Additives sector features nutrition, premix and feed additive specialists such as Cargill, De Heus and </w:t>
      </w:r>
      <w:proofErr w:type="spellStart"/>
      <w:r w:rsidRPr="00532BB7">
        <w:rPr>
          <w:rFonts w:ascii="Calibri" w:eastAsia="Calibri" w:hAnsi="Calibri" w:cs="Calibri"/>
          <w:lang w:val="en-GB"/>
        </w:rPr>
        <w:t>Koudijs</w:t>
      </w:r>
      <w:proofErr w:type="spellEnd"/>
      <w:r w:rsidRPr="00532BB7">
        <w:rPr>
          <w:rFonts w:ascii="Calibri" w:eastAsia="Calibri" w:hAnsi="Calibri" w:cs="Calibri"/>
          <w:lang w:val="en-GB"/>
        </w:rPr>
        <w:t xml:space="preserve"> Animal Nutrition, </w:t>
      </w:r>
      <w:proofErr w:type="spellStart"/>
      <w:r w:rsidRPr="00532BB7">
        <w:rPr>
          <w:rFonts w:ascii="Calibri" w:eastAsia="Calibri" w:hAnsi="Calibri" w:cs="Calibri"/>
          <w:lang w:val="en-GB"/>
        </w:rPr>
        <w:t>Trouw</w:t>
      </w:r>
      <w:proofErr w:type="spellEnd"/>
      <w:r w:rsidRPr="00532BB7">
        <w:rPr>
          <w:rFonts w:ascii="Calibri" w:eastAsia="Calibri" w:hAnsi="Calibri" w:cs="Calibri"/>
          <w:lang w:val="en-GB"/>
        </w:rPr>
        <w:t xml:space="preserve"> Nutrition, </w:t>
      </w:r>
      <w:proofErr w:type="spellStart"/>
      <w:r w:rsidRPr="00532BB7">
        <w:rPr>
          <w:rFonts w:ascii="Calibri" w:eastAsia="Calibri" w:hAnsi="Calibri" w:cs="Calibri"/>
          <w:lang w:val="en-GB"/>
        </w:rPr>
        <w:t>Adisseo</w:t>
      </w:r>
      <w:proofErr w:type="spellEnd"/>
      <w:r w:rsidRPr="00532BB7">
        <w:rPr>
          <w:rFonts w:ascii="Calibri" w:eastAsia="Calibri" w:hAnsi="Calibri" w:cs="Calibri"/>
          <w:lang w:val="en-GB"/>
        </w:rPr>
        <w:t xml:space="preserve"> and </w:t>
      </w:r>
      <w:proofErr w:type="spellStart"/>
      <w:r w:rsidRPr="00532BB7">
        <w:rPr>
          <w:rFonts w:ascii="Calibri" w:eastAsia="Calibri" w:hAnsi="Calibri" w:cs="Calibri"/>
          <w:lang w:val="en-GB"/>
        </w:rPr>
        <w:t>Techna</w:t>
      </w:r>
      <w:proofErr w:type="spellEnd"/>
      <w:r w:rsidRPr="00532BB7">
        <w:rPr>
          <w:rFonts w:ascii="Calibri" w:eastAsia="Calibri" w:hAnsi="Calibri" w:cs="Calibri"/>
          <w:lang w:val="en-GB"/>
        </w:rPr>
        <w:t xml:space="preserve">, while Feed &amp; Grain Technology brings milling and processing technology from companies including Bühler, Andritz, </w:t>
      </w:r>
      <w:proofErr w:type="spellStart"/>
      <w:r w:rsidRPr="00532BB7">
        <w:rPr>
          <w:rFonts w:ascii="Calibri" w:eastAsia="Calibri" w:hAnsi="Calibri" w:cs="Calibri"/>
          <w:lang w:val="en-GB"/>
        </w:rPr>
        <w:t>Famsun</w:t>
      </w:r>
      <w:proofErr w:type="spellEnd"/>
      <w:r w:rsidRPr="00532BB7">
        <w:rPr>
          <w:rFonts w:ascii="Calibri" w:eastAsia="Calibri" w:hAnsi="Calibri" w:cs="Calibri"/>
          <w:lang w:val="en-GB"/>
        </w:rPr>
        <w:t xml:space="preserve"> and SCE, Silo Construction &amp; Engineering.</w:t>
      </w:r>
    </w:p>
    <w:p w14:paraId="2D21F1FC" w14:textId="77777777" w:rsidR="001674C6" w:rsidRPr="00532BB7" w:rsidRDefault="001674C6" w:rsidP="001674C6">
      <w:pPr>
        <w:spacing w:after="200" w:line="276" w:lineRule="auto"/>
        <w:rPr>
          <w:lang w:val="en-GB"/>
        </w:rPr>
      </w:pPr>
      <w:r w:rsidRPr="00532BB7">
        <w:rPr>
          <w:rFonts w:ascii="Calibri" w:eastAsia="Calibri" w:hAnsi="Calibri" w:cs="Calibri"/>
          <w:lang w:val="en-GB"/>
        </w:rPr>
        <w:t>A dedicated Processing and Food Engineering contingent, among them Baader Food Systems, Birds Prefer Meyn, Insta-Pro International and Duram Industries, rounds out the value chain on the downstream end. The growing Dairy Pavilion extends the show's scope beyond poultry into broader livestock production, reflecting demand for stronger dairy production systems across the region.</w:t>
      </w:r>
    </w:p>
    <w:p w14:paraId="129ACF69" w14:textId="7D7EFDE0" w:rsidR="001B6BA5" w:rsidRPr="00532BB7" w:rsidRDefault="001674C6" w:rsidP="00793853">
      <w:pPr>
        <w:rPr>
          <w:rFonts w:ascii="Calibri" w:eastAsia="Aptos" w:hAnsi="Calibri" w:cs="Calibri"/>
          <w:b/>
          <w:bCs/>
          <w:lang w:val="en-GB"/>
        </w:rPr>
      </w:pPr>
      <w:r w:rsidRPr="00532BB7">
        <w:rPr>
          <w:rFonts w:ascii="Calibri" w:eastAsia="Aptos" w:hAnsi="Calibri" w:cs="Calibri"/>
          <w:b/>
          <w:bCs/>
          <w:lang w:val="en-GB"/>
        </w:rPr>
        <w:t>Specialists across the spectrum</w:t>
      </w:r>
    </w:p>
    <w:p w14:paraId="0BFA5B88" w14:textId="77777777" w:rsidR="00BE00B3" w:rsidRPr="00532BB7" w:rsidRDefault="00BE00B3" w:rsidP="00BE00B3">
      <w:pPr>
        <w:spacing w:after="200" w:line="276" w:lineRule="auto"/>
        <w:rPr>
          <w:lang w:val="en-GB"/>
        </w:rPr>
      </w:pPr>
      <w:r w:rsidRPr="00532BB7">
        <w:rPr>
          <w:rFonts w:ascii="Calibri" w:eastAsia="Calibri" w:hAnsi="Calibri" w:cs="Calibri"/>
          <w:lang w:val="en-GB"/>
        </w:rPr>
        <w:t xml:space="preserve">Within those sectors, the exhibitor list reflects just how specialized the industry has become. Incubation and hatchery specialists such as EMKA Incubators, Vet7 Incubators and </w:t>
      </w:r>
      <w:proofErr w:type="spellStart"/>
      <w:r w:rsidRPr="00532BB7">
        <w:rPr>
          <w:rFonts w:ascii="Calibri" w:eastAsia="Calibri" w:hAnsi="Calibri" w:cs="Calibri"/>
          <w:lang w:val="en-GB"/>
        </w:rPr>
        <w:t>Emtech</w:t>
      </w:r>
      <w:proofErr w:type="spellEnd"/>
      <w:r w:rsidRPr="00532BB7">
        <w:rPr>
          <w:rFonts w:ascii="Calibri" w:eastAsia="Calibri" w:hAnsi="Calibri" w:cs="Calibri"/>
          <w:lang w:val="en-GB"/>
        </w:rPr>
        <w:t xml:space="preserve"> Hatchery Systems sit alongside genetics and breeding houses like Hy-Line/</w:t>
      </w:r>
      <w:proofErr w:type="spellStart"/>
      <w:r w:rsidRPr="00532BB7">
        <w:rPr>
          <w:rFonts w:ascii="Calibri" w:eastAsia="Calibri" w:hAnsi="Calibri" w:cs="Calibri"/>
          <w:lang w:val="en-GB"/>
        </w:rPr>
        <w:t>Kenchic</w:t>
      </w:r>
      <w:proofErr w:type="spellEnd"/>
      <w:r w:rsidRPr="00532BB7">
        <w:rPr>
          <w:rFonts w:ascii="Calibri" w:eastAsia="Calibri" w:hAnsi="Calibri" w:cs="Calibri"/>
          <w:lang w:val="en-GB"/>
        </w:rPr>
        <w:t xml:space="preserve">/Hybrid and </w:t>
      </w:r>
      <w:proofErr w:type="spellStart"/>
      <w:r w:rsidRPr="00532BB7">
        <w:rPr>
          <w:rFonts w:ascii="Calibri" w:eastAsia="Calibri" w:hAnsi="Calibri" w:cs="Calibri"/>
          <w:lang w:val="en-GB"/>
        </w:rPr>
        <w:t>Hastavuk</w:t>
      </w:r>
      <w:proofErr w:type="spellEnd"/>
      <w:r w:rsidRPr="00532BB7">
        <w:rPr>
          <w:rFonts w:ascii="Calibri" w:eastAsia="Calibri" w:hAnsi="Calibri" w:cs="Calibri"/>
          <w:lang w:val="en-GB"/>
        </w:rPr>
        <w:t>.</w:t>
      </w:r>
    </w:p>
    <w:p w14:paraId="1E961EF0" w14:textId="77777777" w:rsidR="00BE00B3" w:rsidRPr="00532BB7" w:rsidRDefault="00BE00B3" w:rsidP="00BE00B3">
      <w:pPr>
        <w:spacing w:after="200" w:line="276" w:lineRule="auto"/>
        <w:rPr>
          <w:lang w:val="en-GB"/>
        </w:rPr>
      </w:pPr>
      <w:r w:rsidRPr="00532BB7">
        <w:rPr>
          <w:rFonts w:ascii="Calibri" w:eastAsia="Calibri" w:hAnsi="Calibri" w:cs="Calibri"/>
          <w:lang w:val="en-GB"/>
        </w:rPr>
        <w:t xml:space="preserve">Feed formulation and nutrition houses ranging from global players like ADM Animal Nutrition and Cargill to regional specialists such as </w:t>
      </w:r>
      <w:proofErr w:type="spellStart"/>
      <w:r w:rsidRPr="00532BB7">
        <w:rPr>
          <w:rFonts w:ascii="Calibri" w:eastAsia="Calibri" w:hAnsi="Calibri" w:cs="Calibri"/>
          <w:lang w:val="en-GB"/>
        </w:rPr>
        <w:t>Soproda</w:t>
      </w:r>
      <w:proofErr w:type="spellEnd"/>
      <w:r w:rsidRPr="00532BB7">
        <w:rPr>
          <w:rFonts w:ascii="Calibri" w:eastAsia="Calibri" w:hAnsi="Calibri" w:cs="Calibri"/>
          <w:lang w:val="en-GB"/>
        </w:rPr>
        <w:t xml:space="preserve"> Poultry Feed and MG2Mix Premix Nutrition will be on hand to discuss diet optimization for local conditions.</w:t>
      </w:r>
    </w:p>
    <w:p w14:paraId="002DAF50" w14:textId="77777777" w:rsidR="00BE00B3" w:rsidRPr="00532BB7" w:rsidRDefault="00BE00B3" w:rsidP="00BE00B3">
      <w:pPr>
        <w:spacing w:after="200" w:line="276" w:lineRule="auto"/>
        <w:rPr>
          <w:lang w:val="en-GB"/>
        </w:rPr>
      </w:pPr>
      <w:r w:rsidRPr="00532BB7">
        <w:rPr>
          <w:rFonts w:ascii="Calibri" w:eastAsia="Calibri" w:hAnsi="Calibri" w:cs="Calibri"/>
          <w:lang w:val="en-GB"/>
        </w:rPr>
        <w:t xml:space="preserve">On the health side, exhibitors span everything from mycotoxin biomonitoring with </w:t>
      </w:r>
      <w:proofErr w:type="spellStart"/>
      <w:r w:rsidRPr="00532BB7">
        <w:rPr>
          <w:rFonts w:ascii="Calibri" w:eastAsia="Calibri" w:hAnsi="Calibri" w:cs="Calibri"/>
          <w:lang w:val="en-GB"/>
        </w:rPr>
        <w:t>Innovad</w:t>
      </w:r>
      <w:proofErr w:type="spellEnd"/>
      <w:r w:rsidRPr="00532BB7">
        <w:rPr>
          <w:rFonts w:ascii="Calibri" w:eastAsia="Calibri" w:hAnsi="Calibri" w:cs="Calibri"/>
          <w:lang w:val="en-GB"/>
        </w:rPr>
        <w:t xml:space="preserve"> Group to full matrix phytase nutrition with IFF Animal Nutrition &amp; Health and probiotic gut health solutions from other exhibiting specialists.</w:t>
      </w:r>
    </w:p>
    <w:p w14:paraId="73AB4688" w14:textId="77777777" w:rsidR="00BE00B3" w:rsidRPr="00532BB7" w:rsidRDefault="00BE00B3" w:rsidP="00BE00B3">
      <w:pPr>
        <w:spacing w:after="200" w:line="276" w:lineRule="auto"/>
        <w:rPr>
          <w:lang w:val="en-GB"/>
        </w:rPr>
      </w:pPr>
      <w:r w:rsidRPr="00532BB7">
        <w:rPr>
          <w:rFonts w:ascii="Calibri" w:eastAsia="Calibri" w:hAnsi="Calibri" w:cs="Calibri"/>
          <w:lang w:val="en-GB"/>
        </w:rPr>
        <w:t>Regional representation is also a defining feature of the floor. Alongside international suppliers from Europe, Asia and the Americas, exhibitors and delegates from across Sub-Saharan Africa, including Rwanda's own poultry and agriculture sector, will be present throughout the two exhibition days. That local presence is reinforced by supporting associations such as the Rwanda Poultry Industry Association and the Ministry of Agriculture and Animal Resources, both closely involved in the show's preparation.</w:t>
      </w:r>
    </w:p>
    <w:p w14:paraId="68449EAE" w14:textId="77777777" w:rsidR="00532BB7" w:rsidRDefault="00532BB7" w:rsidP="00793853">
      <w:pPr>
        <w:rPr>
          <w:rFonts w:ascii="Calibri" w:eastAsia="Aptos" w:hAnsi="Calibri" w:cs="Calibri"/>
          <w:b/>
          <w:bCs/>
          <w:lang w:val="en-GB"/>
        </w:rPr>
      </w:pPr>
    </w:p>
    <w:p w14:paraId="289EE31F" w14:textId="77777777" w:rsidR="00532BB7" w:rsidRDefault="00532BB7" w:rsidP="00793853">
      <w:pPr>
        <w:rPr>
          <w:rFonts w:ascii="Calibri" w:eastAsia="Aptos" w:hAnsi="Calibri" w:cs="Calibri"/>
          <w:b/>
          <w:bCs/>
          <w:lang w:val="en-GB"/>
        </w:rPr>
      </w:pPr>
    </w:p>
    <w:p w14:paraId="13840FD6" w14:textId="77777777" w:rsidR="00532BB7" w:rsidRDefault="00532BB7" w:rsidP="00793853">
      <w:pPr>
        <w:rPr>
          <w:rFonts w:ascii="Calibri" w:eastAsia="Aptos" w:hAnsi="Calibri" w:cs="Calibri"/>
          <w:b/>
          <w:bCs/>
          <w:lang w:val="en-GB"/>
        </w:rPr>
      </w:pPr>
    </w:p>
    <w:p w14:paraId="71EBC7AE" w14:textId="727BD415" w:rsidR="001674C6" w:rsidRPr="00532BB7" w:rsidRDefault="00BE00B3" w:rsidP="00793853">
      <w:pPr>
        <w:rPr>
          <w:rFonts w:ascii="Calibri" w:eastAsia="Aptos" w:hAnsi="Calibri" w:cs="Calibri"/>
          <w:b/>
          <w:bCs/>
          <w:lang w:val="en-GB"/>
        </w:rPr>
      </w:pPr>
      <w:r w:rsidRPr="00532BB7">
        <w:rPr>
          <w:rFonts w:ascii="Calibri" w:eastAsia="Aptos" w:hAnsi="Calibri" w:cs="Calibri"/>
          <w:b/>
          <w:bCs/>
          <w:lang w:val="en-GB"/>
        </w:rPr>
        <w:t xml:space="preserve">Knowledge sharing runs in parallel </w:t>
      </w:r>
    </w:p>
    <w:p w14:paraId="2E67D3F1" w14:textId="1B061E4E" w:rsidR="001B6BA5" w:rsidRDefault="00532BB7" w:rsidP="00532BB7">
      <w:pPr>
        <w:spacing w:after="200" w:line="276" w:lineRule="auto"/>
        <w:rPr>
          <w:lang w:val="en-GB"/>
        </w:rPr>
      </w:pPr>
      <w:r w:rsidRPr="00532BB7">
        <w:rPr>
          <w:rFonts w:ascii="Calibri" w:eastAsia="Calibri" w:hAnsi="Calibri" w:cs="Calibri"/>
          <w:lang w:val="en-GB"/>
        </w:rPr>
        <w:t xml:space="preserve">The exhibition days are supported by a full Technical Best Practice Seminar program, with sessions on topics ranging from drinking </w:t>
      </w:r>
      <w:r w:rsidR="005468C0" w:rsidRPr="00532BB7">
        <w:rPr>
          <w:rFonts w:ascii="Calibri" w:eastAsia="Calibri" w:hAnsi="Calibri" w:cs="Calibri"/>
          <w:lang w:val="en-GB"/>
        </w:rPr>
        <w:t>water-based</w:t>
      </w:r>
      <w:r w:rsidRPr="00532BB7">
        <w:rPr>
          <w:rFonts w:ascii="Calibri" w:eastAsia="Calibri" w:hAnsi="Calibri" w:cs="Calibri"/>
          <w:lang w:val="en-GB"/>
        </w:rPr>
        <w:t xml:space="preserve"> nutrition and feed efficiency </w:t>
      </w:r>
      <w:r w:rsidR="005468C0" w:rsidRPr="00532BB7">
        <w:rPr>
          <w:rFonts w:ascii="Calibri" w:eastAsia="Calibri" w:hAnsi="Calibri" w:cs="Calibri"/>
          <w:lang w:val="en-GB"/>
        </w:rPr>
        <w:t>modelling</w:t>
      </w:r>
      <w:r w:rsidRPr="00532BB7">
        <w:rPr>
          <w:rFonts w:ascii="Calibri" w:eastAsia="Calibri" w:hAnsi="Calibri" w:cs="Calibri"/>
          <w:lang w:val="en-GB"/>
        </w:rPr>
        <w:t xml:space="preserve"> to gut health and probiotic application in broiler production. These run alongside the Leadership Conference sessions on market outlook, poultry sector transformation and animal health, held the day before the show opens.</w:t>
      </w:r>
    </w:p>
    <w:p w14:paraId="71D8650A" w14:textId="77777777" w:rsidR="00532BB7" w:rsidRPr="00532BB7" w:rsidRDefault="00532BB7" w:rsidP="00532BB7">
      <w:pPr>
        <w:spacing w:after="200" w:line="276" w:lineRule="auto"/>
        <w:rPr>
          <w:lang w:val="en-GB"/>
        </w:rPr>
      </w:pPr>
    </w:p>
    <w:p w14:paraId="559CB772" w14:textId="0E8282AE" w:rsidR="00793853" w:rsidRPr="00793853" w:rsidRDefault="00793853" w:rsidP="00793853">
      <w:pPr>
        <w:rPr>
          <w:rFonts w:ascii="Calibri" w:eastAsia="Aptos" w:hAnsi="Calibri" w:cs="Calibri"/>
          <w:b/>
          <w:bCs/>
          <w:lang w:val="en-GB"/>
        </w:rPr>
      </w:pPr>
      <w:r w:rsidRPr="00793853">
        <w:rPr>
          <w:rFonts w:ascii="Calibri" w:eastAsia="Aptos" w:hAnsi="Calibri" w:cs="Calibri"/>
          <w:b/>
          <w:bCs/>
          <w:lang w:val="en-GB"/>
        </w:rPr>
        <w:t>Register Now for VIV Africa 2026</w:t>
      </w:r>
    </w:p>
    <w:p w14:paraId="7836841A" w14:textId="4D7E47D8" w:rsidR="00793853" w:rsidRDefault="00793853" w:rsidP="00793853">
      <w:pPr>
        <w:rPr>
          <w:rFonts w:ascii="Calibri" w:eastAsia="Aptos" w:hAnsi="Calibri" w:cs="Calibri"/>
          <w:lang w:val="en-GB"/>
        </w:rPr>
      </w:pPr>
      <w:r w:rsidRPr="00793853">
        <w:rPr>
          <w:rFonts w:ascii="Calibri" w:eastAsia="Aptos" w:hAnsi="Calibri" w:cs="Calibri"/>
          <w:lang w:val="en-GB"/>
        </w:rPr>
        <w:t xml:space="preserve">Visitor registration for VIV Africa 2026 is open now at </w:t>
      </w:r>
      <w:hyperlink r:id="rId7" w:history="1">
        <w:r w:rsidRPr="00793853">
          <w:rPr>
            <w:rStyle w:val="Hyperlink"/>
            <w:rFonts w:ascii="Calibri" w:eastAsia="Aptos" w:hAnsi="Calibri" w:cs="Calibri"/>
            <w:b/>
            <w:bCs/>
            <w:lang w:val="en-GB"/>
          </w:rPr>
          <w:t>www.vivafrica.nl</w:t>
        </w:r>
      </w:hyperlink>
      <w:r w:rsidRPr="00793853">
        <w:rPr>
          <w:rFonts w:ascii="Calibri" w:eastAsia="Aptos" w:hAnsi="Calibri" w:cs="Calibri"/>
          <w:lang w:val="en-GB"/>
        </w:rPr>
        <w:t xml:space="preserve">. Registering in advance secures a free badge, avoids queues onsite, and gives early access to the exhibitor list and full </w:t>
      </w:r>
      <w:r w:rsidR="007C6D28">
        <w:rPr>
          <w:rFonts w:ascii="Calibri" w:eastAsia="Aptos" w:hAnsi="Calibri" w:cs="Calibri"/>
          <w:lang w:val="en-GB"/>
        </w:rPr>
        <w:t xml:space="preserve">onsite </w:t>
      </w:r>
      <w:r w:rsidRPr="00793853">
        <w:rPr>
          <w:rFonts w:ascii="Calibri" w:eastAsia="Aptos" w:hAnsi="Calibri" w:cs="Calibri"/>
          <w:lang w:val="en-GB"/>
        </w:rPr>
        <w:t>program — helping visitors plan thei</w:t>
      </w:r>
      <w:r w:rsidR="007C6D28">
        <w:rPr>
          <w:rFonts w:ascii="Calibri" w:eastAsia="Aptos" w:hAnsi="Calibri" w:cs="Calibri"/>
          <w:lang w:val="en-GB"/>
        </w:rPr>
        <w:t>r visit</w:t>
      </w:r>
      <w:r w:rsidRPr="00793853">
        <w:rPr>
          <w:rFonts w:ascii="Calibri" w:eastAsia="Aptos" w:hAnsi="Calibri" w:cs="Calibri"/>
          <w:lang w:val="en-GB"/>
        </w:rPr>
        <w:t xml:space="preserve"> in Kigali before they even arrive.</w:t>
      </w:r>
    </w:p>
    <w:p w14:paraId="3D77D316" w14:textId="77777777" w:rsidR="007C6D28" w:rsidRPr="00793853" w:rsidRDefault="007C6D28" w:rsidP="00793853">
      <w:pPr>
        <w:rPr>
          <w:rFonts w:ascii="Calibri" w:eastAsia="Aptos" w:hAnsi="Calibri" w:cs="Calibri"/>
          <w:lang w:val="en-GB"/>
        </w:rPr>
      </w:pPr>
    </w:p>
    <w:p w14:paraId="065196E6" w14:textId="4C972A11" w:rsidR="00305B12" w:rsidRPr="004F3C44" w:rsidRDefault="00305B12" w:rsidP="00305B12">
      <w:pPr>
        <w:rPr>
          <w:sz w:val="22"/>
          <w:szCs w:val="22"/>
        </w:rPr>
      </w:pPr>
      <w:r w:rsidRPr="004B4D3D">
        <w:rPr>
          <w:sz w:val="22"/>
          <w:szCs w:val="22"/>
        </w:rPr>
        <w:t>--------------------------------------------- End of press release -------------------------------------------------</w:t>
      </w:r>
    </w:p>
    <w:p w14:paraId="0316A224" w14:textId="77777777" w:rsidR="00305B12" w:rsidRPr="00BA1C55" w:rsidRDefault="00305B12" w:rsidP="00305B12">
      <w:r w:rsidRPr="004B4D3D">
        <w:rPr>
          <w:b/>
          <w:bCs/>
          <w:sz w:val="22"/>
          <w:szCs w:val="22"/>
        </w:rPr>
        <w:t>For media inquiries and further information, please contact:</w:t>
      </w:r>
      <w:r w:rsidRPr="004B4D3D">
        <w:rPr>
          <w:sz w:val="22"/>
          <w:szCs w:val="22"/>
        </w:rPr>
        <w:br/>
        <w:t xml:space="preserve">Lida Kokkini – </w:t>
      </w:r>
      <w:r w:rsidRPr="004B4D3D">
        <w:rPr>
          <w:sz w:val="21"/>
          <w:szCs w:val="21"/>
        </w:rPr>
        <w:t>Senior Marcom Manager at VIV worldwide, </w:t>
      </w:r>
      <w:hyperlink r:id="rId8" w:history="1">
        <w:r w:rsidRPr="004B4D3D">
          <w:rPr>
            <w:rStyle w:val="Hyperlink"/>
            <w:sz w:val="21"/>
            <w:szCs w:val="21"/>
          </w:rPr>
          <w:t>lida@vnueurope.com</w:t>
        </w:r>
      </w:hyperlink>
    </w:p>
    <w:p w14:paraId="1656F57B" w14:textId="77777777" w:rsidR="00305B12" w:rsidRPr="00BA1C55" w:rsidRDefault="00305B12" w:rsidP="00305B12">
      <w:pPr>
        <w:rPr>
          <w:sz w:val="22"/>
          <w:szCs w:val="22"/>
        </w:rPr>
      </w:pPr>
      <w:r w:rsidRPr="004B4D3D">
        <w:rPr>
          <w:b/>
          <w:bCs/>
          <w:sz w:val="22"/>
          <w:szCs w:val="22"/>
        </w:rPr>
        <w:t xml:space="preserve">About VIV Worldwide </w:t>
      </w:r>
      <w:r w:rsidRPr="004B4D3D">
        <w:rPr>
          <w:sz w:val="22"/>
          <w:szCs w:val="22"/>
        </w:rPr>
        <w:t>|</w:t>
      </w:r>
      <w:r w:rsidRPr="004B4D3D">
        <w:rPr>
          <w:b/>
          <w:bCs/>
          <w:sz w:val="22"/>
          <w:szCs w:val="22"/>
        </w:rPr>
        <w:t xml:space="preserve"> </w:t>
      </w:r>
      <w:r w:rsidRPr="004B4D3D">
        <w:rPr>
          <w:sz w:val="22"/>
          <w:szCs w:val="22"/>
        </w:rPr>
        <w:t xml:space="preserve">VIV worldwide is the business network linking professionals from Feed to Food, offering boundless opportunities to the animal protein supply chain players. VIV worldwide developed with dedication a network through </w:t>
      </w:r>
      <w:r>
        <w:rPr>
          <w:sz w:val="22"/>
          <w:szCs w:val="22"/>
        </w:rPr>
        <w:t>5</w:t>
      </w:r>
      <w:r w:rsidRPr="004B4D3D">
        <w:rPr>
          <w:sz w:val="22"/>
          <w:szCs w:val="22"/>
        </w:rPr>
        <w:t>0 years of experience and interactions with the industry, becoming today the leading platform in and for some of the most promising markets of the world. Visit </w:t>
      </w:r>
      <w:hyperlink r:id="rId9">
        <w:r w:rsidRPr="004B4D3D">
          <w:rPr>
            <w:rStyle w:val="Hyperlink"/>
            <w:sz w:val="22"/>
            <w:szCs w:val="22"/>
          </w:rPr>
          <w:t>www.viv.net</w:t>
        </w:r>
      </w:hyperlink>
      <w:r w:rsidRPr="004B4D3D">
        <w:rPr>
          <w:sz w:val="22"/>
          <w:szCs w:val="22"/>
        </w:rPr>
        <w:t>.</w:t>
      </w:r>
    </w:p>
    <w:p w14:paraId="31258814" w14:textId="0F81B404" w:rsidR="00011A52" w:rsidRPr="003B62EB" w:rsidRDefault="00305B12">
      <w:pPr>
        <w:rPr>
          <w:sz w:val="22"/>
          <w:szCs w:val="22"/>
        </w:rPr>
      </w:pPr>
      <w:r w:rsidRPr="004B4D3D">
        <w:rPr>
          <w:b/>
          <w:bCs/>
          <w:sz w:val="22"/>
          <w:szCs w:val="22"/>
        </w:rPr>
        <w:t>About VNU Europe </w:t>
      </w:r>
      <w:r w:rsidRPr="004B4D3D">
        <w:rPr>
          <w:sz w:val="22"/>
          <w:szCs w:val="22"/>
        </w:rPr>
        <w:t xml:space="preserve">| VNU Europe is a subsidiary company of Royal Dutch </w:t>
      </w:r>
      <w:proofErr w:type="spellStart"/>
      <w:r w:rsidRPr="004B4D3D">
        <w:rPr>
          <w:sz w:val="22"/>
          <w:szCs w:val="22"/>
        </w:rPr>
        <w:t>Jaarbeurs</w:t>
      </w:r>
      <w:proofErr w:type="spellEnd"/>
      <w:r w:rsidRPr="004B4D3D">
        <w:rPr>
          <w:sz w:val="22"/>
          <w:szCs w:val="22"/>
        </w:rPr>
        <w:t xml:space="preserve"> with its base in Utrecht, at the heart of the Netherlands and only 30 minutes from Amsterdam. The VNU Europe office is located within the extensive </w:t>
      </w:r>
      <w:proofErr w:type="spellStart"/>
      <w:r w:rsidRPr="004B4D3D">
        <w:rPr>
          <w:sz w:val="22"/>
          <w:szCs w:val="22"/>
        </w:rPr>
        <w:t>Jaarbeurs</w:t>
      </w:r>
      <w:proofErr w:type="spellEnd"/>
      <w:r w:rsidRPr="004B4D3D">
        <w:rPr>
          <w:sz w:val="22"/>
          <w:szCs w:val="22"/>
        </w:rPr>
        <w:t xml:space="preserve"> complex. The international team of VNU Europe is wholly involved in the agrifood sector, focusing on the organization of worldwide industry events such as VIV and Horti Agri Next. For more information, visit </w:t>
      </w:r>
      <w:hyperlink r:id="rId10" w:history="1">
        <w:r w:rsidRPr="004B4D3D">
          <w:rPr>
            <w:rStyle w:val="Hyperlink"/>
            <w:sz w:val="22"/>
            <w:szCs w:val="22"/>
          </w:rPr>
          <w:t>www.vnueurope.com</w:t>
        </w:r>
      </w:hyperlink>
    </w:p>
    <w:sectPr w:rsidR="00011A52" w:rsidRPr="003B62E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236B" w14:textId="77777777" w:rsidR="000A36BA" w:rsidRDefault="000A36BA" w:rsidP="008E70B2">
      <w:pPr>
        <w:spacing w:after="0" w:line="240" w:lineRule="auto"/>
      </w:pPr>
      <w:r>
        <w:separator/>
      </w:r>
    </w:p>
  </w:endnote>
  <w:endnote w:type="continuationSeparator" w:id="0">
    <w:p w14:paraId="04EC982D" w14:textId="77777777" w:rsidR="000A36BA" w:rsidRDefault="000A36BA" w:rsidP="008E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AB6E" w14:textId="77777777" w:rsidR="000A36BA" w:rsidRDefault="000A36BA" w:rsidP="008E70B2">
      <w:pPr>
        <w:spacing w:after="0" w:line="240" w:lineRule="auto"/>
      </w:pPr>
      <w:r>
        <w:separator/>
      </w:r>
    </w:p>
  </w:footnote>
  <w:footnote w:type="continuationSeparator" w:id="0">
    <w:p w14:paraId="603B5C2F" w14:textId="77777777" w:rsidR="000A36BA" w:rsidRDefault="000A36BA" w:rsidP="008E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398" w14:textId="4EBBBA8F" w:rsidR="008E70B2" w:rsidRDefault="00C31546">
    <w:pPr>
      <w:pStyle w:val="Header"/>
    </w:pPr>
    <w:r>
      <w:rPr>
        <w:noProof/>
      </w:rPr>
      <w:drawing>
        <wp:anchor distT="0" distB="0" distL="114300" distR="114300" simplePos="0" relativeHeight="251658240" behindDoc="1" locked="0" layoutInCell="1" allowOverlap="1" wp14:anchorId="12F0D0CD" wp14:editId="7120B901">
          <wp:simplePos x="0" y="0"/>
          <wp:positionH relativeFrom="column">
            <wp:posOffset>-892176</wp:posOffset>
          </wp:positionH>
          <wp:positionV relativeFrom="paragraph">
            <wp:posOffset>-449580</wp:posOffset>
          </wp:positionV>
          <wp:extent cx="7569495" cy="1264920"/>
          <wp:effectExtent l="0" t="0" r="0" b="0"/>
          <wp:wrapNone/>
          <wp:docPr id="157898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84753" name="Picture 1578984753"/>
                  <pic:cNvPicPr/>
                </pic:nvPicPr>
                <pic:blipFill>
                  <a:blip r:embed="rId1">
                    <a:extLst>
                      <a:ext uri="{28A0092B-C50C-407E-A947-70E740481C1C}">
                        <a14:useLocalDpi xmlns:a14="http://schemas.microsoft.com/office/drawing/2010/main" val="0"/>
                      </a:ext>
                    </a:extLst>
                  </a:blip>
                  <a:stretch>
                    <a:fillRect/>
                  </a:stretch>
                </pic:blipFill>
                <pic:spPr>
                  <a:xfrm>
                    <a:off x="0" y="0"/>
                    <a:ext cx="7588237" cy="1268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93658"/>
    <w:multiLevelType w:val="multilevel"/>
    <w:tmpl w:val="2092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07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09"/>
    <w:rsid w:val="00011A52"/>
    <w:rsid w:val="00040145"/>
    <w:rsid w:val="000A36BA"/>
    <w:rsid w:val="000A7C1F"/>
    <w:rsid w:val="000D4627"/>
    <w:rsid w:val="000E151E"/>
    <w:rsid w:val="00154D36"/>
    <w:rsid w:val="001555EC"/>
    <w:rsid w:val="001674C6"/>
    <w:rsid w:val="001777E2"/>
    <w:rsid w:val="001B6BA5"/>
    <w:rsid w:val="00210857"/>
    <w:rsid w:val="00254B58"/>
    <w:rsid w:val="002E4319"/>
    <w:rsid w:val="002F1FCA"/>
    <w:rsid w:val="002F3A09"/>
    <w:rsid w:val="00305049"/>
    <w:rsid w:val="00305B12"/>
    <w:rsid w:val="003170B1"/>
    <w:rsid w:val="00343FA4"/>
    <w:rsid w:val="003B62EB"/>
    <w:rsid w:val="003F64A9"/>
    <w:rsid w:val="00403C61"/>
    <w:rsid w:val="00425C47"/>
    <w:rsid w:val="004A1B8E"/>
    <w:rsid w:val="004F298A"/>
    <w:rsid w:val="00532BB7"/>
    <w:rsid w:val="005468C0"/>
    <w:rsid w:val="00547BEA"/>
    <w:rsid w:val="006440BD"/>
    <w:rsid w:val="00653B65"/>
    <w:rsid w:val="00661E00"/>
    <w:rsid w:val="00666493"/>
    <w:rsid w:val="00793853"/>
    <w:rsid w:val="007C6D28"/>
    <w:rsid w:val="007E59D8"/>
    <w:rsid w:val="00805909"/>
    <w:rsid w:val="00834FA8"/>
    <w:rsid w:val="00835633"/>
    <w:rsid w:val="00897A74"/>
    <w:rsid w:val="008A2797"/>
    <w:rsid w:val="008B0E10"/>
    <w:rsid w:val="008E70B2"/>
    <w:rsid w:val="008F4BBB"/>
    <w:rsid w:val="009702C0"/>
    <w:rsid w:val="00993E76"/>
    <w:rsid w:val="00994D83"/>
    <w:rsid w:val="00A05380"/>
    <w:rsid w:val="00AB43BE"/>
    <w:rsid w:val="00B37364"/>
    <w:rsid w:val="00B524B2"/>
    <w:rsid w:val="00B63D69"/>
    <w:rsid w:val="00B87464"/>
    <w:rsid w:val="00B9794B"/>
    <w:rsid w:val="00BA5BDB"/>
    <w:rsid w:val="00BC4D7B"/>
    <w:rsid w:val="00BE00B3"/>
    <w:rsid w:val="00C31546"/>
    <w:rsid w:val="00E015AA"/>
    <w:rsid w:val="00E84945"/>
    <w:rsid w:val="00F062DD"/>
    <w:rsid w:val="00F31AAB"/>
    <w:rsid w:val="00F44A57"/>
    <w:rsid w:val="00F52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AAEF"/>
  <w15:chartTrackingRefBased/>
  <w15:docId w15:val="{221C7856-D769-4CBA-A349-A49DC7D5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12"/>
    <w:rPr>
      <w:lang w:val="en-US"/>
    </w:rPr>
  </w:style>
  <w:style w:type="paragraph" w:styleId="Heading1">
    <w:name w:val="heading 1"/>
    <w:basedOn w:val="Normal"/>
    <w:next w:val="Normal"/>
    <w:link w:val="Heading1Char"/>
    <w:uiPriority w:val="9"/>
    <w:qFormat/>
    <w:rsid w:val="002F3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A09"/>
    <w:rPr>
      <w:rFonts w:eastAsiaTheme="majorEastAsia" w:cstheme="majorBidi"/>
      <w:color w:val="272727" w:themeColor="text1" w:themeTint="D8"/>
    </w:rPr>
  </w:style>
  <w:style w:type="paragraph" w:styleId="Title">
    <w:name w:val="Title"/>
    <w:basedOn w:val="Normal"/>
    <w:next w:val="Normal"/>
    <w:link w:val="TitleChar"/>
    <w:uiPriority w:val="10"/>
    <w:qFormat/>
    <w:rsid w:val="002F3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A09"/>
    <w:pPr>
      <w:spacing w:before="160"/>
      <w:jc w:val="center"/>
    </w:pPr>
    <w:rPr>
      <w:i/>
      <w:iCs/>
      <w:color w:val="404040" w:themeColor="text1" w:themeTint="BF"/>
    </w:rPr>
  </w:style>
  <w:style w:type="character" w:customStyle="1" w:styleId="QuoteChar">
    <w:name w:val="Quote Char"/>
    <w:basedOn w:val="DefaultParagraphFont"/>
    <w:link w:val="Quote"/>
    <w:uiPriority w:val="29"/>
    <w:rsid w:val="002F3A09"/>
    <w:rPr>
      <w:i/>
      <w:iCs/>
      <w:color w:val="404040" w:themeColor="text1" w:themeTint="BF"/>
    </w:rPr>
  </w:style>
  <w:style w:type="paragraph" w:styleId="ListParagraph">
    <w:name w:val="List Paragraph"/>
    <w:basedOn w:val="Normal"/>
    <w:uiPriority w:val="34"/>
    <w:qFormat/>
    <w:rsid w:val="002F3A09"/>
    <w:pPr>
      <w:ind w:left="720"/>
      <w:contextualSpacing/>
    </w:pPr>
  </w:style>
  <w:style w:type="character" w:styleId="IntenseEmphasis">
    <w:name w:val="Intense Emphasis"/>
    <w:basedOn w:val="DefaultParagraphFont"/>
    <w:uiPriority w:val="21"/>
    <w:qFormat/>
    <w:rsid w:val="002F3A09"/>
    <w:rPr>
      <w:i/>
      <w:iCs/>
      <w:color w:val="0F4761" w:themeColor="accent1" w:themeShade="BF"/>
    </w:rPr>
  </w:style>
  <w:style w:type="paragraph" w:styleId="IntenseQuote">
    <w:name w:val="Intense Quote"/>
    <w:basedOn w:val="Normal"/>
    <w:next w:val="Normal"/>
    <w:link w:val="IntenseQuoteChar"/>
    <w:uiPriority w:val="30"/>
    <w:qFormat/>
    <w:rsid w:val="002F3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A09"/>
    <w:rPr>
      <w:i/>
      <w:iCs/>
      <w:color w:val="0F4761" w:themeColor="accent1" w:themeShade="BF"/>
    </w:rPr>
  </w:style>
  <w:style w:type="character" w:styleId="IntenseReference">
    <w:name w:val="Intense Reference"/>
    <w:basedOn w:val="DefaultParagraphFont"/>
    <w:uiPriority w:val="32"/>
    <w:qFormat/>
    <w:rsid w:val="002F3A09"/>
    <w:rPr>
      <w:b/>
      <w:bCs/>
      <w:smallCaps/>
      <w:color w:val="0F4761" w:themeColor="accent1" w:themeShade="BF"/>
      <w:spacing w:val="5"/>
    </w:rPr>
  </w:style>
  <w:style w:type="character" w:styleId="Hyperlink">
    <w:name w:val="Hyperlink"/>
    <w:basedOn w:val="DefaultParagraphFont"/>
    <w:uiPriority w:val="99"/>
    <w:rsid w:val="00305B12"/>
    <w:rPr>
      <w:color w:val="467886"/>
      <w:u w:val="single"/>
    </w:rPr>
  </w:style>
  <w:style w:type="paragraph" w:styleId="Header">
    <w:name w:val="header"/>
    <w:basedOn w:val="Normal"/>
    <w:link w:val="HeaderChar"/>
    <w:uiPriority w:val="99"/>
    <w:unhideWhenUsed/>
    <w:rsid w:val="008E70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70B2"/>
    <w:rPr>
      <w:lang w:val="en-US"/>
    </w:rPr>
  </w:style>
  <w:style w:type="paragraph" w:styleId="Footer">
    <w:name w:val="footer"/>
    <w:basedOn w:val="Normal"/>
    <w:link w:val="FooterChar"/>
    <w:uiPriority w:val="99"/>
    <w:unhideWhenUsed/>
    <w:rsid w:val="008E70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70B2"/>
    <w:rPr>
      <w:lang w:val="en-US"/>
    </w:rPr>
  </w:style>
  <w:style w:type="character" w:styleId="UnresolvedMention">
    <w:name w:val="Unresolved Mention"/>
    <w:basedOn w:val="DefaultParagraphFont"/>
    <w:uiPriority w:val="99"/>
    <w:semiHidden/>
    <w:unhideWhenUsed/>
    <w:rsid w:val="00793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a@vnueurop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vafrica.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nueurope.com/" TargetMode="External"/><Relationship Id="rId4" Type="http://schemas.openxmlformats.org/officeDocument/2006/relationships/webSettings" Target="webSettings.xml"/><Relationship Id="rId9" Type="http://schemas.openxmlformats.org/officeDocument/2006/relationships/hyperlink" Target="http://www.viv.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0f67bc-d1c3-4188-b1ea-b7e72bedbb2d}"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141</TotalTime>
  <Pages>3</Pages>
  <Words>920</Words>
  <Characters>5506</Characters>
  <Application>Microsoft Office Word</Application>
  <DocSecurity>0</DocSecurity>
  <Lines>98</Lines>
  <Paragraphs>33</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13</cp:revision>
  <dcterms:created xsi:type="dcterms:W3CDTF">2026-08-27T12:15:00Z</dcterms:created>
  <dcterms:modified xsi:type="dcterms:W3CDTF">2026-08-28T07:27:00Z</dcterms:modified>
</cp:coreProperties>
</file>